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b/>
          <w:bCs/>
          <w:color w:val="B45309"/>
          <w:spacing w:val="18"/>
          <w:sz w:val="18"/>
          <w:szCs w:val="18"/>
        </w:rPr>
        <w:t xml:space="preserve">ANDREY DIGITAL · ЮРИДИЧЕСКИЙ ДОКУМЕНТ</w:t>
      </w:r>
    </w:p>
    <w:p>
      <w:pPr>
        <w:pStyle w:val="LegalTitle"/>
      </w:pPr>
      <w:r>
        <w:t xml:space="preserve">Публичная оферта на оказание услуг по разработке лендинга</w:t>
      </w:r>
    </w:p>
    <w:p>
      <w:pPr>
        <w:pStyle w:val="LegalSubtitle"/>
      </w:pPr>
      <w:r>
        <w:t xml:space="preserve">Типовые условия фиксированного пакета. Действует с 07 августа 2026 г..</w:t>
      </w:r>
    </w:p>
    <w:p>
      <w:pPr>
        <w:pStyle w:val="LegalMeta"/>
      </w:pPr>
      <w:r>
        <w:rPr>
          <w:b/>
          <w:bCs/>
        </w:rPr>
        <w:t xml:space="preserve">Редакция: </w:t>
      </w:r>
      <w:r>
        <w:t xml:space="preserve">20260807</w:t>
      </w:r>
    </w:p>
    <w:p>
      <w:pPr>
        <w:pStyle w:val="LegalMeta"/>
      </w:pPr>
      <w:r>
        <w:rPr>
          <w:b/>
          <w:bCs/>
        </w:rPr>
        <w:t xml:space="preserve">Действует с: </w:t>
      </w:r>
      <w:r>
        <w:t xml:space="preserve">7 августа 2026 г.</w:t>
      </w:r>
    </w:p>
    <w:p>
      <w:pPr>
        <w:spacing w:after="180"/>
      </w:pPr>
      <w:r>
        <w:rPr>
          <w:sz w:val="2"/>
          <w:szCs w:val="2"/>
        </w:rPr>
        <w:t xml:space="preserve"/>
      </w:r>
    </w:p>
    <w:p>
      <w:pPr>
        <w:pStyle w:val="LegalBody"/>
      </w:pPr>
      <w:r>
        <w:t xml:space="preserve">Настоящий документ является публичной офертой в смысле статей 435 и 437 Гражданского кодекса Российской Федерации.</w:t>
      </w:r>
    </w:p>
    <w:p>
      <w:pPr>
        <w:pStyle w:val="LegalBody"/>
      </w:pPr>
      <w:r>
        <w:t xml:space="preserve">Оферта адресована физическим лицам, индивидуальным предпринимателям и организациям, которые заказывают услугу через сайт Исполнителя.</w:t>
      </w:r>
    </w:p>
    <w:p>
      <w:pPr>
        <w:pStyle w:val="LegalHeading"/>
      </w:pPr>
      <w:r>
        <w:t xml:space="preserve">Основные термины</w:t>
      </w:r>
    </w:p>
    <w:tbl>
      <w:tblPr>
        <w:tblW w:type="dxa" w:w="9360"/>
        <w:tblInd w:type="dxa" w:w="120"/>
        <w:tblBorders>
          <w:top w:val="single" w:color="D0D5DD" w:sz="4"/>
          <w:left w:val="single" w:color="D0D5DD" w:sz="4"/>
          <w:bottom w:val="single" w:color="D0D5DD" w:sz="4"/>
          <w:right w:val="single" w:color="D0D5DD" w:sz="4"/>
          <w:insideH w:val="single" w:color="D0D5DD" w:sz="4"/>
          <w:insideV w:val="single" w:color="D0D5DD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shd w:fill="F2F4F7" w:color="auto" w:val="clear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Оферта</w:t>
            </w:r>
          </w:p>
        </w:tc>
        <w:tc>
          <w:tcPr>
            <w:tcW w:type="dxa" w:w="6660"/>
            <w:vAlign w:val="center"/>
          </w:tcPr>
          <w:p>
            <w:pPr>
              <w:spacing w:after="0" w:line="240" w:lineRule="auto"/>
            </w:pPr>
            <w:r>
              <w:rPr>
                <w:color w:val="1F2937"/>
                <w:sz w:val="20"/>
                <w:szCs w:val="20"/>
              </w:rPr>
              <w:t xml:space="preserve">Настоящие условия оказания услуги</w:t>
            </w:r>
          </w:p>
        </w:tc>
      </w:tr>
      <w:tr>
        <w:trPr>
          <w:cantSplit/>
        </w:trPr>
        <w:tc>
          <w:tcPr>
            <w:tcW w:type="dxa" w:w="2700"/>
            <w:shd w:fill="F2F4F7" w:color="auto" w:val="clear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Заказ</w:t>
            </w:r>
          </w:p>
        </w:tc>
        <w:tc>
          <w:tcPr>
            <w:tcW w:type="dxa" w:w="6660"/>
            <w:vAlign w:val="center"/>
          </w:tcPr>
          <w:p>
            <w:pPr>
              <w:spacing w:after="0" w:line="240" w:lineRule="auto"/>
            </w:pPr>
            <w:r>
              <w:rPr>
                <w:color w:val="1F2937"/>
                <w:sz w:val="20"/>
                <w:szCs w:val="20"/>
              </w:rPr>
              <w:t xml:space="preserve">Сведения об услуге, Заказчике, цене, сроке и платеже, показанные на странице оплаты</w:t>
            </w:r>
          </w:p>
        </w:tc>
      </w:tr>
      <w:tr>
        <w:trPr>
          <w:cantSplit/>
        </w:trPr>
        <w:tc>
          <w:tcPr>
            <w:tcW w:type="dxa" w:w="2700"/>
            <w:shd w:fill="F2F4F7" w:color="auto" w:val="clear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Акцепт</w:t>
            </w:r>
          </w:p>
        </w:tc>
        <w:tc>
          <w:tcPr>
            <w:tcW w:type="dxa" w:w="6660"/>
            <w:vAlign w:val="center"/>
          </w:tcPr>
          <w:p>
            <w:pPr>
              <w:spacing w:after="0" w:line="240" w:lineRule="auto"/>
            </w:pPr>
            <w:r>
              <w:rPr>
                <w:color w:val="1F2937"/>
                <w:sz w:val="20"/>
                <w:szCs w:val="20"/>
              </w:rPr>
              <w:t xml:space="preserve">Полное принятие Оферты путем отдельного подтверждения условий и оплаты аванса</w:t>
            </w:r>
          </w:p>
        </w:tc>
      </w:tr>
      <w:tr>
        <w:trPr>
          <w:cantSplit/>
        </w:trPr>
        <w:tc>
          <w:tcPr>
            <w:tcW w:type="dxa" w:w="2700"/>
            <w:shd w:fill="F2F4F7" w:color="auto" w:val="clear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Результат</w:t>
            </w:r>
          </w:p>
        </w:tc>
        <w:tc>
          <w:tcPr>
            <w:tcW w:type="dxa" w:w="6660"/>
            <w:vAlign w:val="center"/>
          </w:tcPr>
          <w:p>
            <w:pPr>
              <w:spacing w:after="0" w:line="240" w:lineRule="auto"/>
            </w:pPr>
            <w:r>
              <w:rPr>
                <w:color w:val="1F2937"/>
                <w:sz w:val="20"/>
                <w:szCs w:val="20"/>
              </w:rPr>
              <w:t xml:space="preserve">Одностраничный сайт и связанные с ним материалы в согласованном объеме</w:t>
            </w:r>
          </w:p>
        </w:tc>
      </w:tr>
    </w:tbl>
    <w:p>
      <w:pPr>
        <w:spacing w:after="80"/>
      </w:pPr>
      <w:r>
        <w:rPr>
          <w:sz w:val="2"/>
          <w:szCs w:val="2"/>
        </w:rPr>
        <w:t xml:space="preserve"/>
      </w:r>
    </w:p>
    <w:p>
      <w:pPr>
        <w:pStyle w:val="LegalHeading"/>
      </w:pPr>
      <w:r>
        <w:t xml:space="preserve">1. Исполнитель и Заказчик</w:t>
      </w:r>
    </w:p>
    <w:tbl>
      <w:tblPr>
        <w:tblW w:type="dxa" w:w="9360"/>
        <w:tblInd w:type="dxa" w:w="120"/>
        <w:tblBorders>
          <w:top w:val="single" w:color="D0D5DD" w:sz="4"/>
          <w:left w:val="single" w:color="D0D5DD" w:sz="4"/>
          <w:bottom w:val="single" w:color="D0D5DD" w:sz="4"/>
          <w:right w:val="single" w:color="D0D5DD" w:sz="4"/>
          <w:insideH w:val="single" w:color="D0D5DD" w:sz="4"/>
          <w:insideV w:val="single" w:color="D0D5DD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shd w:fill="F2F4F7" w:color="auto" w:val="clear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Исполнитель</w:t>
            </w:r>
          </w:p>
        </w:tc>
        <w:tc>
          <w:tcPr>
            <w:tcW w:type="dxa" w:w="6660"/>
            <w:vAlign w:val="center"/>
          </w:tcPr>
          <w:p>
            <w:pPr>
              <w:spacing w:after="0" w:line="240" w:lineRule="auto"/>
            </w:pPr>
            <w:r>
              <w:rPr>
                <w:color w:val="1F2937"/>
                <w:sz w:val="20"/>
                <w:szCs w:val="20"/>
              </w:rPr>
              <w:t xml:space="preserve">Коковихин Андрей Игоревич</w:t>
            </w:r>
          </w:p>
        </w:tc>
      </w:tr>
      <w:tr>
        <w:trPr>
          <w:cantSplit/>
        </w:trPr>
        <w:tc>
          <w:tcPr>
            <w:tcW w:type="dxa" w:w="2700"/>
            <w:shd w:fill="F2F4F7" w:color="auto" w:val="clear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Статус</w:t>
            </w:r>
          </w:p>
        </w:tc>
        <w:tc>
          <w:tcPr>
            <w:tcW w:type="dxa" w:w="6660"/>
            <w:vAlign w:val="center"/>
          </w:tcPr>
          <w:p>
            <w:pPr>
              <w:spacing w:after="0" w:line="240" w:lineRule="auto"/>
            </w:pPr>
            <w:r>
              <w:rPr>
                <w:color w:val="1F2937"/>
                <w:sz w:val="20"/>
                <w:szCs w:val="20"/>
              </w:rPr>
              <w:t xml:space="preserve">самозанятый</w:t>
            </w:r>
          </w:p>
        </w:tc>
      </w:tr>
      <w:tr>
        <w:trPr>
          <w:cantSplit/>
        </w:trPr>
        <w:tc>
          <w:tcPr>
            <w:tcW w:type="dxa" w:w="2700"/>
            <w:shd w:fill="F2F4F7" w:color="auto" w:val="clear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ИНН</w:t>
            </w:r>
          </w:p>
        </w:tc>
        <w:tc>
          <w:tcPr>
            <w:tcW w:type="dxa" w:w="6660"/>
            <w:vAlign w:val="center"/>
          </w:tcPr>
          <w:p>
            <w:pPr>
              <w:spacing w:after="0" w:line="240" w:lineRule="auto"/>
            </w:pPr>
            <w:r>
              <w:rPr>
                <w:color w:val="1F2937"/>
                <w:sz w:val="20"/>
                <w:szCs w:val="20"/>
              </w:rPr>
              <w:t xml:space="preserve">782001540147</w:t>
            </w:r>
          </w:p>
        </w:tc>
      </w:tr>
      <w:tr>
        <w:trPr>
          <w:cantSplit/>
        </w:trPr>
        <w:tc>
          <w:tcPr>
            <w:tcW w:type="dxa" w:w="2700"/>
            <w:shd w:fill="F2F4F7" w:color="auto" w:val="clear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Адрес</w:t>
            </w:r>
          </w:p>
        </w:tc>
        <w:tc>
          <w:tcPr>
            <w:tcW w:type="dxa" w:w="6660"/>
            <w:vAlign w:val="center"/>
          </w:tcPr>
          <w:p>
            <w:pPr>
              <w:spacing w:after="0" w:line="240" w:lineRule="auto"/>
            </w:pPr>
            <w:r>
              <w:rPr>
                <w:color w:val="1F2937"/>
                <w:sz w:val="20"/>
                <w:szCs w:val="20"/>
              </w:rPr>
              <w:t xml:space="preserve">196608, г. Санкт-Петербург, г. Пушкин, ул. Оранжерейная, д 64, кв 41</w:t>
            </w:r>
          </w:p>
        </w:tc>
      </w:tr>
      <w:tr>
        <w:trPr>
          <w:cantSplit/>
        </w:trPr>
        <w:tc>
          <w:tcPr>
            <w:tcW w:type="dxa" w:w="2700"/>
            <w:shd w:fill="F2F4F7" w:color="auto" w:val="clear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Email для обращений</w:t>
            </w:r>
          </w:p>
        </w:tc>
        <w:tc>
          <w:tcPr>
            <w:tcW w:type="dxa" w:w="6660"/>
            <w:vAlign w:val="center"/>
          </w:tcPr>
          <w:p>
            <w:pPr>
              <w:spacing w:after="0" w:line="240" w:lineRule="auto"/>
            </w:pPr>
            <w:r>
              <w:rPr>
                <w:color w:val="1F2937"/>
                <w:sz w:val="20"/>
                <w:szCs w:val="20"/>
              </w:rPr>
              <w:t xml:space="preserve">legal@andrey-digital.ru</w:t>
            </w:r>
          </w:p>
        </w:tc>
      </w:tr>
      <w:tr>
        <w:trPr>
          <w:cantSplit/>
        </w:trPr>
        <w:tc>
          <w:tcPr>
            <w:tcW w:type="dxa" w:w="2700"/>
            <w:shd w:fill="F2F4F7" w:color="auto" w:val="clear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Сайт</w:t>
            </w:r>
          </w:p>
        </w:tc>
        <w:tc>
          <w:tcPr>
            <w:tcW w:type="dxa" w:w="6660"/>
            <w:vAlign w:val="center"/>
          </w:tcPr>
          <w:p>
            <w:pPr>
              <w:spacing w:after="0" w:line="240" w:lineRule="auto"/>
            </w:pPr>
            <w:r>
              <w:rPr>
                <w:color w:val="1F2937"/>
                <w:sz w:val="20"/>
                <w:szCs w:val="20"/>
              </w:rPr>
              <w:t xml:space="preserve">andrey-digital.ru</w:t>
            </w:r>
          </w:p>
        </w:tc>
      </w:tr>
      <w:tr>
        <w:trPr>
          <w:cantSplit/>
        </w:trPr>
        <w:tc>
          <w:tcPr>
            <w:tcW w:type="dxa" w:w="2700"/>
            <w:shd w:fill="F2F4F7" w:color="auto" w:val="clear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Заказчик</w:t>
            </w:r>
          </w:p>
        </w:tc>
        <w:tc>
          <w:tcPr>
            <w:tcW w:type="dxa" w:w="6660"/>
            <w:vAlign w:val="center"/>
          </w:tcPr>
          <w:p>
            <w:pPr>
              <w:spacing w:after="0" w:line="240" w:lineRule="auto"/>
            </w:pPr>
            <w:r>
              <w:rPr>
                <w:color w:val="1F2937"/>
                <w:sz w:val="20"/>
                <w:szCs w:val="20"/>
              </w:rPr>
              <w:t xml:space="preserve">Лицо, которое указало данные в форме, подтвердило условия и оплатило аванс</w:t>
            </w:r>
          </w:p>
        </w:tc>
      </w:tr>
    </w:tbl>
    <w:p>
      <w:pPr>
        <w:spacing w:after="80"/>
      </w:pPr>
      <w:r>
        <w:rPr>
          <w:sz w:val="2"/>
          <w:szCs w:val="2"/>
        </w:rPr>
        <w:t xml:space="preserve"/>
      </w:r>
    </w:p>
    <w:p>
      <w:pPr>
        <w:pStyle w:val="LegalHeading"/>
      </w:pPr>
      <w:r>
        <w:t xml:space="preserve">2. Предмет договора</w:t>
      </w:r>
    </w:p>
    <w:p>
      <w:pPr>
        <w:pStyle w:val="LegalBody"/>
      </w:pPr>
      <w:r>
        <w:t xml:space="preserve">Исполнитель обязуется разработать одностраничный сайт по согласованному заданию, а Заказчик обязуется предоставить материалы, принять результат и оплатить работу.</w:t>
      </w:r>
    </w:p>
    <w:p>
      <w:pPr>
        <w:pStyle w:val="LegalBody"/>
      </w:pPr>
      <w:r>
        <w:t xml:space="preserve">Страница оплаты с выбранной услугой и данными Заказчика выполняет функцию формы заказа. Отдельное бумажное приложение не требуется.</w:t>
      </w:r>
    </w:p>
    <w:p>
      <w:pPr>
        <w:pStyle w:val="LegalBody"/>
      </w:pPr>
      <w:r>
        <w:t xml:space="preserve">Для нестандартного проекта состав, цена и сроки указываются в персональной карточке заказа до оплаты.</w:t>
      </w:r>
    </w:p>
    <w:p>
      <w:pPr>
        <w:spacing w:after="40" w:before="120"/>
      </w:pPr>
      <w:r>
        <w:rPr>
          <w:b/>
          <w:bCs/>
          <w:color w:val="1F2937"/>
          <w:sz w:val="21"/>
          <w:szCs w:val="21"/>
        </w:rPr>
        <w:t xml:space="preserve">Входит в стоимость</w:t>
      </w:r>
    </w:p>
    <w:p>
      <w:pPr>
        <w:pStyle w:val="LegalBullet"/>
        <w:numPr>
          <w:ilvl w:val="0"/>
          <w:numId w:val="2"/>
        </w:numPr>
      </w:pPr>
      <w:r>
        <w:t xml:space="preserve">Одна страница до 6 смысловых блоков</w:t>
      </w:r>
    </w:p>
    <w:p>
      <w:pPr>
        <w:pStyle w:val="LegalBullet"/>
        <w:numPr>
          <w:ilvl w:val="0"/>
          <w:numId w:val="2"/>
        </w:numPr>
      </w:pPr>
      <w:r>
        <w:t xml:space="preserve">Адаптивный дизайн для телефона, планшета и компьютера</w:t>
      </w:r>
    </w:p>
    <w:p>
      <w:pPr>
        <w:pStyle w:val="LegalBullet"/>
        <w:numPr>
          <w:ilvl w:val="0"/>
          <w:numId w:val="2"/>
        </w:numPr>
      </w:pPr>
      <w:r>
        <w:t xml:space="preserve">Один основной призыв к действию и одна форма заявки с отправкой на один email Заказчика</w:t>
      </w:r>
    </w:p>
    <w:p>
      <w:pPr>
        <w:pStyle w:val="LegalBullet"/>
        <w:numPr>
          <w:ilvl w:val="0"/>
          <w:numId w:val="2"/>
        </w:numPr>
      </w:pPr>
      <w:r>
        <w:t xml:space="preserve">Размещение готовых текстов, изображений и других материалов Заказчика</w:t>
      </w:r>
    </w:p>
    <w:p>
      <w:pPr>
        <w:pStyle w:val="LegalBullet"/>
        <w:numPr>
          <w:ilvl w:val="0"/>
          <w:numId w:val="2"/>
        </w:numPr>
      </w:pPr>
      <w:r>
        <w:t xml:space="preserve">Базовые метаданные страницы</w:t>
      </w:r>
    </w:p>
    <w:p>
      <w:pPr>
        <w:pStyle w:val="LegalBullet"/>
        <w:numPr>
          <w:ilvl w:val="0"/>
          <w:numId w:val="2"/>
        </w:numPr>
      </w:pPr>
      <w:r>
        <w:t xml:space="preserve">Публикация на согласованном домене и передача исходных файлов после полной оплаты</w:t>
      </w:r>
    </w:p>
    <w:p>
      <w:pPr>
        <w:spacing w:after="40" w:before="120"/>
      </w:pPr>
      <w:r>
        <w:rPr>
          <w:b/>
          <w:bCs/>
          <w:color w:val="1F2937"/>
          <w:sz w:val="21"/>
          <w:szCs w:val="21"/>
        </w:rPr>
        <w:t xml:space="preserve">Не входит в стоимость</w:t>
      </w:r>
    </w:p>
    <w:p>
      <w:pPr>
        <w:pStyle w:val="LegalBullet"/>
        <w:numPr>
          <w:ilvl w:val="0"/>
          <w:numId w:val="2"/>
        </w:numPr>
      </w:pPr>
      <w:r>
        <w:t xml:space="preserve">Домен и платный хостинг</w:t>
      </w:r>
    </w:p>
    <w:p>
      <w:pPr>
        <w:pStyle w:val="LegalBullet"/>
        <w:numPr>
          <w:ilvl w:val="0"/>
          <w:numId w:val="2"/>
        </w:numPr>
      </w:pPr>
      <w:r>
        <w:t xml:space="preserve">Тексты с нуля, подбор или покупка изображений</w:t>
      </w:r>
    </w:p>
    <w:p>
      <w:pPr>
        <w:pStyle w:val="LegalBullet"/>
        <w:numPr>
          <w:ilvl w:val="0"/>
          <w:numId w:val="2"/>
        </w:numPr>
      </w:pPr>
      <w:r>
        <w:t xml:space="preserve">Интернет-магазин, личный кабинет и база данных</w:t>
      </w:r>
    </w:p>
    <w:p>
      <w:pPr>
        <w:pStyle w:val="LegalBullet"/>
        <w:numPr>
          <w:ilvl w:val="0"/>
          <w:numId w:val="2"/>
        </w:numPr>
      </w:pPr>
      <w:r>
        <w:t xml:space="preserve">Подключение онлайн-оплаты, Telegram, CRM и других внешних интеграций к разрабатываемому лендингу</w:t>
      </w:r>
    </w:p>
    <w:p>
      <w:pPr>
        <w:pStyle w:val="LegalBullet"/>
        <w:numPr>
          <w:ilvl w:val="0"/>
          <w:numId w:val="2"/>
        </w:numPr>
      </w:pPr>
      <w:r>
        <w:t xml:space="preserve">Дополнительные страницы и новые блоки сверх согласованного объема</w:t>
      </w:r>
    </w:p>
    <w:p>
      <w:pPr>
        <w:pStyle w:val="LegalHeading"/>
      </w:pPr>
      <w:r>
        <w:t xml:space="preserve">3. Форма заказа и акцепт</w:t>
      </w:r>
    </w:p>
    <w:p>
      <w:pPr>
        <w:pStyle w:val="LegalBody"/>
      </w:pPr>
      <w:r>
        <w:t xml:space="preserve">Форма заказа размещена по адресу https://andrey-digital.ru/pay. До ее отправки Заказчику показываются услуга, цена, аванс, остаток, срок, состав пакета и ссылки на действующие документы.</w:t>
      </w:r>
    </w:p>
    <w:p>
      <w:pPr>
        <w:pStyle w:val="LegalBody"/>
      </w:pPr>
      <w:r>
        <w:t xml:space="preserve">Заказчик указывает свой статус, имя или наименование, email и, когда это требуется, ИНН, отдельно подтверждает Оферту и направляет форму. Согласие на обработку персональных данных оформляется самостоятельной отметкой и не является частью акцепта Оферты.</w:t>
      </w:r>
    </w:p>
    <w:p>
      <w:pPr>
        <w:pStyle w:val="LegalBody"/>
      </w:pPr>
      <w:r>
        <w:t xml:space="preserve">Договор считается заключенным после подтверждения оплаты аванса 2 250 ₽ платежным оператором. Данные заказа и действовавшие условия сохраняются для подтверждения договоренностей сторон.</w:t>
      </w:r>
    </w:p>
    <w:p>
      <w:pPr>
        <w:pStyle w:val="LegalHeading"/>
      </w:pPr>
      <w:r>
        <w:t xml:space="preserve">4. Цена и порядок оплаты</w:t>
      </w:r>
    </w:p>
    <w:tbl>
      <w:tblPr>
        <w:tblW w:type="dxa" w:w="9360"/>
        <w:tblInd w:type="dxa" w:w="120"/>
        <w:tblBorders>
          <w:top w:val="single" w:color="D0D5DD" w:sz="4"/>
          <w:left w:val="single" w:color="D0D5DD" w:sz="4"/>
          <w:bottom w:val="single" w:color="D0D5DD" w:sz="4"/>
          <w:right w:val="single" w:color="D0D5DD" w:sz="4"/>
          <w:insideH w:val="single" w:color="D0D5DD" w:sz="4"/>
          <w:insideV w:val="single" w:color="D0D5DD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shd w:fill="F2F4F7" w:color="auto" w:val="clear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Типовая стоимость</w:t>
            </w:r>
          </w:p>
        </w:tc>
        <w:tc>
          <w:tcPr>
            <w:tcW w:type="dxa" w:w="6660"/>
            <w:vAlign w:val="center"/>
          </w:tcPr>
          <w:p>
            <w:pPr>
              <w:spacing w:after="0" w:line="240" w:lineRule="auto"/>
            </w:pPr>
            <w:r>
              <w:rPr>
                <w:color w:val="1F2937"/>
                <w:sz w:val="20"/>
                <w:szCs w:val="20"/>
              </w:rPr>
              <w:t xml:space="preserve">4 500 ₽</w:t>
            </w:r>
          </w:p>
        </w:tc>
      </w:tr>
      <w:tr>
        <w:trPr>
          <w:cantSplit/>
        </w:trPr>
        <w:tc>
          <w:tcPr>
            <w:tcW w:type="dxa" w:w="2700"/>
            <w:shd w:fill="F2F4F7" w:color="auto" w:val="clear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Аванс 50%</w:t>
            </w:r>
          </w:p>
        </w:tc>
        <w:tc>
          <w:tcPr>
            <w:tcW w:type="dxa" w:w="6660"/>
            <w:vAlign w:val="center"/>
          </w:tcPr>
          <w:p>
            <w:pPr>
              <w:spacing w:after="0" w:line="240" w:lineRule="auto"/>
            </w:pPr>
            <w:r>
              <w:rPr>
                <w:color w:val="1F2937"/>
                <w:sz w:val="20"/>
                <w:szCs w:val="20"/>
              </w:rPr>
              <w:t xml:space="preserve">2 250 ₽</w:t>
            </w:r>
          </w:p>
        </w:tc>
      </w:tr>
      <w:tr>
        <w:trPr>
          <w:cantSplit/>
        </w:trPr>
        <w:tc>
          <w:tcPr>
            <w:tcW w:type="dxa" w:w="2700"/>
            <w:shd w:fill="F2F4F7" w:color="auto" w:val="clear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Остаток</w:t>
            </w:r>
          </w:p>
        </w:tc>
        <w:tc>
          <w:tcPr>
            <w:tcW w:type="dxa" w:w="6660"/>
            <w:vAlign w:val="center"/>
          </w:tcPr>
          <w:p>
            <w:pPr>
              <w:spacing w:after="0" w:line="240" w:lineRule="auto"/>
            </w:pPr>
            <w:r>
              <w:rPr>
                <w:color w:val="1F2937"/>
                <w:sz w:val="20"/>
                <w:szCs w:val="20"/>
              </w:rPr>
              <w:t xml:space="preserve">2 250 ₽ в течение 3 календарных дней после приёмки или истечения срока приёмки, до финальной публикации и передачи исходных файлов</w:t>
            </w:r>
          </w:p>
        </w:tc>
      </w:tr>
    </w:tbl>
    <w:p>
      <w:pPr>
        <w:spacing w:after="80"/>
      </w:pPr>
      <w:r>
        <w:rPr>
          <w:sz w:val="2"/>
          <w:szCs w:val="2"/>
        </w:rPr>
        <w:t xml:space="preserve"/>
      </w:r>
    </w:p>
    <w:p>
      <w:pPr>
        <w:pStyle w:val="LegalBody"/>
      </w:pPr>
      <w:r>
        <w:t xml:space="preserve">Дополнительные работы выполняются только после отдельного согласования состава, срока и цены.</w:t>
      </w:r>
    </w:p>
    <w:p>
      <w:pPr>
        <w:pStyle w:val="LegalBody"/>
      </w:pPr>
      <w:r>
        <w:t xml:space="preserve">Обязанность по оплате считается исполненной после подтверждения платежа оператором. Данные банковской карты вводятся на стороне ЮKassa и не поступают Исполнителю.</w:t>
      </w:r>
    </w:p>
    <w:p>
      <w:pPr>
        <w:pStyle w:val="LegalBody"/>
      </w:pPr>
      <w:r>
        <w:t xml:space="preserve">После подтверждения каждого платежа Исполнитель вручную регистрирует доход в сервисе «Мой налог» и передает Заказчику чек налога на профессиональный доход по согласованному каналу связи.</w:t>
      </w:r>
    </w:p>
    <w:p>
      <w:pPr>
        <w:pStyle w:val="LegalHeading"/>
      </w:pPr>
      <w:r>
        <w:t xml:space="preserve">5. Начало и срок выполнения</w:t>
      </w:r>
    </w:p>
    <w:p>
      <w:pPr>
        <w:pStyle w:val="LegalBody"/>
      </w:pPr>
      <w:r>
        <w:t xml:space="preserve">Работа начинается после поступления аванса и получения от Заказчика материалов, доступов и ответов, необходимых для выполнения задания.</w:t>
      </w:r>
    </w:p>
    <w:p>
      <w:pPr>
        <w:pStyle w:val="LegalBody"/>
      </w:pPr>
      <w:r>
        <w:t xml:space="preserve">Типовой срок: до 7 календарных дней. Срок приостанавливается на время ожидания материалов, ответов и согласований Заказчика.</w:t>
      </w:r>
    </w:p>
    <w:p>
      <w:pPr>
        <w:pStyle w:val="LegalBody"/>
      </w:pPr>
      <w:r>
        <w:t xml:space="preserve">Если изменение задания влияет на объем работ, стороны отдельно согласуют новый срок и стоимость.</w:t>
      </w:r>
    </w:p>
    <w:p>
      <w:pPr>
        <w:pStyle w:val="LegalHeading"/>
      </w:pPr>
      <w:r>
        <w:t xml:space="preserve">6. Обязанности сторон и материалы</w:t>
      </w:r>
    </w:p>
    <w:p>
      <w:pPr>
        <w:pStyle w:val="LegalBody"/>
      </w:pPr>
      <w:r>
        <w:t xml:space="preserve">Заказчик предоставляет тексты, изображения, доступы и другую необходимую информацию и гарантирует законность их использования.</w:t>
      </w:r>
    </w:p>
    <w:p>
      <w:pPr>
        <w:pStyle w:val="LegalBody"/>
      </w:pPr>
      <w:r>
        <w:t xml:space="preserve">Заказчик своевременно отвечает на вопросы и проверяет промежуточные материалы. Исполнитель выполняет работу в согласованном объеме и сообщает об обстоятельствах, влияющих на срок.</w:t>
      </w:r>
    </w:p>
    <w:p>
      <w:pPr>
        <w:pStyle w:val="LegalBody"/>
      </w:pPr>
      <w:r>
        <w:t xml:space="preserve">Исполнитель вправе привлекать третьих лиц, оставаясь ответственным перед Заказчиком за результат и конфиденциальность.</w:t>
      </w:r>
    </w:p>
    <w:p>
      <w:pPr>
        <w:pStyle w:val="LegalHeading"/>
      </w:pPr>
      <w:r>
        <w:t xml:space="preserve">7. Правки и изменение задания</w:t>
      </w:r>
    </w:p>
    <w:p>
      <w:pPr>
        <w:pStyle w:val="LegalBody"/>
      </w:pPr>
      <w:r>
        <w:t xml:space="preserve">В типовую стоимость включен 1 цикл правок в пределах согласованного задания.</w:t>
      </w:r>
    </w:p>
    <w:p>
      <w:pPr>
        <w:pStyle w:val="LegalBody"/>
      </w:pPr>
      <w:r>
        <w:t xml:space="preserve">Правки передаются единым списком. Новые блоки, функции или изменение согласованной концепции считаются дополнительными работами.</w:t>
      </w:r>
    </w:p>
    <w:p>
      <w:pPr>
        <w:pStyle w:val="LegalBody"/>
      </w:pPr>
      <w:r>
        <w:t xml:space="preserve">Исполнитель начинает дополнительные работы только после письменного согласования их цены и срока.</w:t>
      </w:r>
    </w:p>
    <w:p>
      <w:pPr>
        <w:pStyle w:val="LegalHeading"/>
      </w:pPr>
      <w:r>
        <w:t xml:space="preserve">8. Передача и приемка</w:t>
      </w:r>
    </w:p>
    <w:p>
      <w:pPr>
        <w:pStyle w:val="LegalBody"/>
      </w:pPr>
      <w:r>
        <w:t xml:space="preserve">Для проверки Исполнитель передает ссылку на демонстрационную версию или иной доступ к результату. Финальная публикация на домене и передача исходных файлов выполняются после полной оплаты.</w:t>
      </w:r>
    </w:p>
    <w:p>
      <w:pPr>
        <w:pStyle w:val="LegalBody"/>
      </w:pPr>
      <w:r>
        <w:t xml:space="preserve">Заказчик проверяет результат в течение 5 календарных дней и направляет один консолидированный список замечаний. Если мотивированные замечания не поступили, доступный для проверки результат считается принятым.</w:t>
      </w:r>
    </w:p>
    <w:p>
      <w:pPr>
        <w:pStyle w:val="LegalBody"/>
      </w:pPr>
      <w:r>
        <w:t xml:space="preserve">Замечания должны относиться к согласованному заданию. Пожелания, расширяющие его, оформляются как дополнительные работы.</w:t>
      </w:r>
    </w:p>
    <w:p>
      <w:pPr>
        <w:pStyle w:val="LegalHeading"/>
      </w:pPr>
      <w:r>
        <w:t xml:space="preserve">9. Гарантия</w:t>
      </w:r>
    </w:p>
    <w:p>
      <w:pPr>
        <w:pStyle w:val="LegalBody"/>
      </w:pPr>
      <w:r>
        <w:t xml:space="preserve">Гарантийный срок на ошибки в согласованном функционале составляет 30 календарных дней после приемки.</w:t>
      </w:r>
    </w:p>
    <w:p>
      <w:pPr>
        <w:pStyle w:val="LegalBody"/>
      </w:pPr>
      <w:r>
        <w:t xml:space="preserve">Гарантия не распространяется на изменения Заказчика, обновления браузеров и сторонних сервисов, сбои хостинга, домена, API и компонентов, которыми Исполнитель не управляет.</w:t>
      </w:r>
    </w:p>
    <w:p>
      <w:pPr>
        <w:pStyle w:val="LegalHeading"/>
      </w:pPr>
      <w:r>
        <w:t xml:space="preserve">10. Исключительные права и сторонние компоненты</w:t>
      </w:r>
    </w:p>
    <w:p>
      <w:pPr>
        <w:pStyle w:val="LegalBody"/>
      </w:pPr>
      <w:r>
        <w:t xml:space="preserve">Исключительные права и исходные файлы передаются Заказчику после полной оплаты проекта.</w:t>
      </w:r>
    </w:p>
    <w:p>
      <w:pPr>
        <w:pStyle w:val="LegalBody"/>
      </w:pPr>
      <w:r>
        <w:t xml:space="preserve">До полной оплаты промежуточные материалы можно использовать только для согласования.</w:t>
      </w:r>
    </w:p>
    <w:p>
      <w:pPr>
        <w:pStyle w:val="LegalBody"/>
      </w:pPr>
      <w:r>
        <w:t xml:space="preserve">Права на материалы Заказчика, шрифты, библиотеки, открытый код и другие сторонние компоненты сохраняются за их правообладателями и используются по соответствующим лицензиям.</w:t>
      </w:r>
    </w:p>
    <w:p>
      <w:pPr>
        <w:pStyle w:val="LegalBody"/>
      </w:pPr>
      <w:r>
        <w:t xml:space="preserve">Публикация результата в портфолио возможна только после отдельного письменного согласования с Заказчиком.</w:t>
      </w:r>
    </w:p>
    <w:p>
      <w:pPr>
        <w:pStyle w:val="LegalHeading"/>
      </w:pPr>
      <w:r>
        <w:t xml:space="preserve">11. Отказ, возврат и приостановка</w:t>
      </w:r>
    </w:p>
    <w:p>
      <w:pPr>
        <w:pStyle w:val="LegalBody"/>
      </w:pPr>
      <w:r>
        <w:t xml:space="preserve">Заказчик вправе отказаться от договора. Если Заказчик является потребителем, он оплачивает фактически выполненную работу и фактически понесенные Исполнителем расходы в соответствии с применимым законодательством.</w:t>
      </w:r>
    </w:p>
    <w:p>
      <w:pPr>
        <w:pStyle w:val="LegalBody"/>
      </w:pPr>
      <w:r>
        <w:t xml:space="preserve">Сумма возврата рассчитывается по подтверждаемому объему выполненной работы и расходов.</w:t>
      </w:r>
    </w:p>
    <w:p>
      <w:pPr>
        <w:pStyle w:val="LegalBody"/>
      </w:pPr>
      <w:r>
        <w:t xml:space="preserve">Исполнитель вправе приостановить работу при просрочке оплаты, непредоставлении материалов или отсутствии ответа более 5 рабочих дней, предварительно уведомив Заказчика.</w:t>
      </w:r>
    </w:p>
    <w:p>
      <w:pPr>
        <w:pStyle w:val="LegalHeading"/>
      </w:pPr>
      <w:r>
        <w:t xml:space="preserve">12. Ответственность и обстоятельства непреодолимой силы</w:t>
      </w:r>
    </w:p>
    <w:p>
      <w:pPr>
        <w:pStyle w:val="LegalBody"/>
      </w:pPr>
      <w:r>
        <w:t xml:space="preserve">Стороны отвечают за доказанные прямые убытки в пределах, установленных законом. Исполнитель не гарантирует конкретные продажи, прибыль, позиции в поиске или показатели рекламы.</w:t>
      </w:r>
    </w:p>
    <w:p>
      <w:pPr>
        <w:pStyle w:val="LegalBody"/>
      </w:pPr>
      <w:r>
        <w:t xml:space="preserve">Сторона освобождается от ответственности за нарушение из-за чрезвычайных и непредотвратимых обстоятельств, если своевременно уведомит другую сторону.</w:t>
      </w:r>
    </w:p>
    <w:p>
      <w:pPr>
        <w:pStyle w:val="LegalHeading"/>
      </w:pPr>
      <w:r>
        <w:t xml:space="preserve">13. Конфиденциальность и персональные данные</w:t>
      </w:r>
    </w:p>
    <w:p>
      <w:pPr>
        <w:pStyle w:val="LegalBody"/>
      </w:pPr>
      <w:r>
        <w:t xml:space="preserve">Стороны не раскрывают полученную при выполнении заказа непубличную информацию, кроме случаев, необходимых для исполнения договора или установленных законом.</w:t>
      </w:r>
    </w:p>
    <w:p>
      <w:pPr>
        <w:pStyle w:val="LegalBody"/>
      </w:pPr>
      <w:r>
        <w:t xml:space="preserve">Обработка персональных данных регулируется единой Политикой обработки персональных данных и отдельным согласием. Политика не принимается как часть договора: Заказчик знакомится с ней до передачи данных.</w:t>
      </w:r>
    </w:p>
    <w:p>
      <w:pPr>
        <w:pStyle w:val="LegalBody"/>
      </w:pPr>
      <w:r>
        <w:t xml:space="preserve">Данные банковской карты вводятся на стороне платежного оператора и не поступают Исполнителю.</w:t>
      </w:r>
    </w:p>
    <w:p>
      <w:pPr>
        <w:pStyle w:val="LegalHeading"/>
      </w:pPr>
      <w:r>
        <w:t xml:space="preserve">14. Электронное взаимодействие и доказательства</w:t>
      </w:r>
    </w:p>
    <w:p>
      <w:pPr>
        <w:pStyle w:val="LegalBody"/>
      </w:pPr>
      <w:r>
        <w:t xml:space="preserve">Юридически значимые сообщения могут направляться по email и в согласованных мессенджерах, если можно определить отправителя и содержание сообщения.</w:t>
      </w:r>
    </w:p>
    <w:p>
      <w:pPr>
        <w:pStyle w:val="LegalBody"/>
      </w:pPr>
      <w:r>
        <w:t xml:space="preserve">Сведения формы заказа, отметка о подтверждении Оферты, время отправки формы, технические данные запроса, идентификатор и статус платежа могут использоваться как доказательства заключения и исполнения договора.</w:t>
      </w:r>
    </w:p>
    <w:p>
      <w:pPr>
        <w:pStyle w:val="LegalHeading"/>
      </w:pPr>
      <w:r>
        <w:t xml:space="preserve">15. Споры и заключительные положения</w:t>
      </w:r>
    </w:p>
    <w:p>
      <w:pPr>
        <w:pStyle w:val="LegalBody"/>
      </w:pPr>
      <w:r>
        <w:t xml:space="preserve">До обращения в суд сторона направляет претензию по email. Срок ответа составляет 10 календарных дней, если иной срок не установлен законом.</w:t>
      </w:r>
    </w:p>
    <w:p>
      <w:pPr>
        <w:pStyle w:val="LegalBody"/>
      </w:pPr>
      <w:r>
        <w:t xml:space="preserve">К договору применяется право Российской Федерации. Права потребителя на обращение по месту, предусмотренному законом, не ограничиваются.</w:t>
      </w:r>
    </w:p>
    <w:p>
      <w:pPr>
        <w:pStyle w:val="LegalBody"/>
      </w:pPr>
      <w:r>
        <w:t xml:space="preserve">Недействительность отдельного положения не влечет недействительность остальных условий Оферты.</w:t>
      </w:r>
    </w:p>
    <w:p>
      <w:pPr>
        <w:pStyle w:val="LegalBody"/>
      </w:pPr>
      <w:r>
        <w:t xml:space="preserve">Новая редакция Оферты применяется только к заказам, оформленным после ее публикации, и не изменяет ранее заключенные договоры.</w:t>
      </w:r>
    </w:p>
    <w:p>
      <w:pPr>
        <w:pStyle w:val="LegalBody"/>
      </w:pPr>
      <w:r>
        <w:t xml:space="preserve">Актуальная форма заказа: https://andrey-digital.ru/pay.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/>
      <w:jc w:val="right"/>
    </w:pPr>
    <w:r>
      <w:rPr>
        <w:rFonts w:ascii="Calibri" w:cs="Calibri" w:eastAsia="Calibri" w:hAnsi="Calibri"/>
        <w:color w:val="667085"/>
        <w:sz w:val="16"/>
        <w:szCs w:val="16"/>
      </w:rPr>
      <w:t xml:space="preserve">Страница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rFonts w:ascii="Calibri" w:cs="Calibri" w:eastAsia="Calibri" w:hAnsi="Calibri"/>
        <w:b/>
        <w:bCs/>
        <w:color w:val="667085"/>
        <w:sz w:val="16"/>
        <w:szCs w:val="16"/>
      </w:rPr>
      <w:t xml:space="preserve">ANDREY DIGITAL · ЮРИДИЧЕСКИЕ ДОКУМЕНТЫ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  <w:rPr>
        <w:rFonts w:ascii="Calibri" w:cs="Calibri" w:eastAsia="Calibri" w:hAnsi="Calibri"/>
        <w:color w:val="B45309"/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7"/>
        <w:sz w:val="22"/>
        <w:szCs w:val="22"/>
        <w:lang w:val="ru-RU"/>
      </w:rPr>
    </w:rPrDefault>
    <w:pPrDefault>
      <w:pPr>
        <w:spacing w:after="120" w:line="264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LegalTitle">
    <w:name w:val="Legal title"/>
    <w:basedOn w:val="Normal"/>
    <w:next w:val="LegalSubtitle"/>
    <w:qFormat/>
    <w:pPr>
      <w:keepNext/>
      <w:spacing w:after="120" w:before="0" w:line="300" w:lineRule="auto"/>
    </w:pPr>
    <w:rPr>
      <w:rFonts w:ascii="Calibri" w:cs="Calibri" w:eastAsia="Calibri" w:hAnsi="Calibri"/>
      <w:b/>
      <w:bCs/>
      <w:color w:val="0B2545"/>
      <w:sz w:val="44"/>
      <w:szCs w:val="44"/>
    </w:rPr>
  </w:style>
  <w:style w:type="paragraph" w:styleId="LegalSubtitle">
    <w:name w:val="Legal subtitle"/>
    <w:basedOn w:val="Normal"/>
    <w:next w:val="LegalMeta"/>
    <w:pPr>
      <w:keepNext/>
      <w:spacing w:after="160" w:line="252" w:lineRule="auto"/>
    </w:pPr>
    <w:rPr>
      <w:rFonts w:ascii="Calibri" w:cs="Calibri" w:eastAsia="Calibri" w:hAnsi="Calibri"/>
      <w:color w:val="667085"/>
      <w:sz w:val="21"/>
      <w:szCs w:val="21"/>
    </w:rPr>
  </w:style>
  <w:style w:type="paragraph" w:styleId="LegalMeta">
    <w:name w:val="Legal metadata"/>
    <w:basedOn w:val="Normal"/>
    <w:next w:val="LegalMeta"/>
    <w:pPr>
      <w:keepNext/>
      <w:spacing w:after="30" w:line="220" w:lineRule="auto"/>
    </w:pPr>
    <w:rPr>
      <w:rFonts w:ascii="Calibri" w:cs="Calibri" w:eastAsia="Calibri" w:hAnsi="Calibri"/>
      <w:color w:val="667085"/>
      <w:sz w:val="18"/>
      <w:szCs w:val="18"/>
    </w:rPr>
  </w:style>
  <w:style w:type="paragraph" w:styleId="LegalHeading">
    <w:name w:val="Legal heading"/>
    <w:basedOn w:val="Normal"/>
    <w:next w:val="LegalBody"/>
    <w:qFormat/>
    <w:pPr>
      <w:keepNext/>
      <w:keepLines/>
      <w:spacing w:after="100" w:before="220" w:line="300" w:lineRule="auto"/>
    </w:pPr>
    <w:rPr>
      <w:rFonts w:ascii="Calibri" w:cs="Calibri" w:eastAsia="Calibri" w:hAnsi="Calibri"/>
      <w:b/>
      <w:bCs/>
      <w:color w:val="2E5D7B"/>
      <w:sz w:val="26"/>
      <w:szCs w:val="26"/>
    </w:rPr>
  </w:style>
  <w:style w:type="paragraph" w:styleId="LegalBody">
    <w:name w:val="Legal body"/>
    <w:basedOn w:val="Normal"/>
    <w:next w:val="LegalBody"/>
    <w:pPr>
      <w:spacing w:after="120" w:line="264" w:lineRule="auto"/>
    </w:pPr>
    <w:rPr>
      <w:rFonts w:ascii="Calibri" w:cs="Calibri" w:eastAsia="Calibri" w:hAnsi="Calibri"/>
      <w:color w:val="1F2937"/>
      <w:sz w:val="22"/>
      <w:szCs w:val="22"/>
    </w:rPr>
  </w:style>
  <w:style w:type="paragraph" w:styleId="LegalBullet">
    <w:name w:val="Legal bullet"/>
    <w:basedOn w:val="Normal"/>
    <w:next w:val="LegalBullet"/>
    <w:pPr>
      <w:spacing w:after="160" w:line="280" w:lineRule="auto"/>
    </w:pPr>
    <w:rPr>
      <w:rFonts w:ascii="Calibri" w:cs="Calibri" w:eastAsia="Calibri" w:hAnsi="Calibri"/>
      <w:color w:val="1F2937"/>
      <w:sz w:val="22"/>
      <w:szCs w:val="22"/>
    </w:rPr>
  </w:style>
  <w:style w:type="paragraph" w:styleId="LegalSnapshotNote">
    <w:name w:val="Legal snapshot note"/>
    <w:basedOn w:val="Normal"/>
    <w:pPr>
      <w:keepNext/>
      <w:spacing w:after="80" w:before="300" w:line="240" w:lineRule="auto"/>
    </w:pPr>
    <w:rPr>
      <w:rFonts w:ascii="Calibri" w:cs="Calibri" w:eastAsia="Calibri" w:hAnsi="Calibri"/>
      <w:color w:val="667085"/>
      <w:sz w:val="19"/>
      <w:szCs w:val="19"/>
    </w:rPr>
  </w:style>
  <w:style w:type="paragraph" w:styleId="LegalHash">
    <w:name w:val="Legal hash"/>
    <w:basedOn w:val="Normal"/>
    <w:pPr>
      <w:spacing w:after="0" w:line="220" w:lineRule="auto"/>
    </w:pPr>
    <w:rPr>
      <w:rFonts w:ascii="Consolas" w:cs="Consolas" w:eastAsia="Consolas" w:hAnsi="Consolas"/>
      <w:color w:val="667085"/>
      <w:sz w:val="16"/>
      <w:szCs w:val="1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Публичная оферта на оказание услуг по разработке лендинга</dc:title>
  <dc:subject>Типовые условия фиксированного пакета. Действует с 07 августа 2026 г..</dc:subject>
  <dc:creator>ANDREY digital</dc:creator>
  <dc:description>Юридический документ ANDREY digital</dc:description>
  <cp:lastModifiedBy>Un-named</cp:lastModifiedBy>
  <cp:revision>1</cp:revision>
  <dcterms:created xsi:type="dcterms:W3CDTF">2026-08-27T04:11:50.331Z</dcterms:created>
  <dcterms:modified xsi:type="dcterms:W3CDTF">2026-08-27T04:11:50.331Z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