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</w:pPr>
      <w:r>
        <w:rPr>
          <w:b/>
          <w:bCs/>
          <w:color w:val="B45309"/>
          <w:spacing w:val="18"/>
          <w:sz w:val="18"/>
          <w:szCs w:val="18"/>
        </w:rPr>
        <w:t xml:space="preserve">ANDREY DIGITAL · ЮРИДИЧЕСКИЙ ДОКУМЕНТ</w:t>
      </w:r>
    </w:p>
    <w:p>
      <w:pPr>
        <w:pStyle w:val="LegalTitle"/>
      </w:pPr>
      <w:r>
        <w:t xml:space="preserve">Политика обработки персональных данных</w:t>
      </w:r>
    </w:p>
    <w:p>
      <w:pPr>
        <w:pStyle w:val="LegalSubtitle"/>
      </w:pPr>
      <w:r>
        <w:t xml:space="preserve">Единая политика для сайта и платежного раздела. Действует с 10 августа 2026 г..</w:t>
      </w:r>
    </w:p>
    <w:p>
      <w:pPr>
        <w:pStyle w:val="LegalMeta"/>
      </w:pPr>
      <w:r>
        <w:rPr>
          <w:b/>
          <w:bCs/>
        </w:rPr>
        <w:t xml:space="preserve">Редакция: </w:t>
      </w:r>
      <w:r>
        <w:t xml:space="preserve">20260810</w:t>
      </w:r>
    </w:p>
    <w:p>
      <w:pPr>
        <w:pStyle w:val="LegalMeta"/>
      </w:pPr>
      <w:r>
        <w:rPr>
          <w:b/>
          <w:bCs/>
        </w:rPr>
        <w:t xml:space="preserve">Действует с: </w:t>
      </w:r>
      <w:r>
        <w:t xml:space="preserve">10 августа 2026 г.</w:t>
      </w:r>
    </w:p>
    <w:p>
      <w:pPr>
        <w:spacing w:after="180"/>
      </w:pPr>
      <w:r>
        <w:rPr>
          <w:sz w:val="2"/>
          <w:szCs w:val="2"/>
        </w:rPr>
        <w:t xml:space="preserve"/>
      </w:r>
    </w:p>
    <w:p>
      <w:pPr>
        <w:pStyle w:val="LegalBody"/>
      </w:pPr>
      <w:r>
        <w:t xml:space="preserve">Политика определяет порядок обработки и защиты персональных данных посетителей сайта, пользователей формы связи и Заказчиков.</w:t>
      </w:r>
    </w:p>
    <w:p>
      <w:pPr>
        <w:pStyle w:val="LegalBody"/>
      </w:pPr>
      <w:r>
        <w:t xml:space="preserve">Политика применяется ко всем формам сайта. Для отдельных целей рядом с формой может предоставляться самостоятельное согласие.</w:t>
      </w:r>
    </w:p>
    <w:p>
      <w:pPr>
        <w:pStyle w:val="LegalHeading"/>
      </w:pPr>
      <w:r>
        <w:t xml:space="preserve">1. Оператор</w:t>
      </w:r>
    </w:p>
    <w:tbl>
      <w:tblPr>
        <w:tblW w:type="dxa" w:w="9360"/>
        <w:tblInd w:type="dxa" w:w="120"/>
        <w:tblBorders>
          <w:top w:val="single" w:color="D0D5DD" w:sz="4"/>
          <w:left w:val="single" w:color="D0D5DD" w:sz="4"/>
          <w:bottom w:val="single" w:color="D0D5DD" w:sz="4"/>
          <w:right w:val="single" w:color="D0D5DD" w:sz="4"/>
          <w:insideH w:val="single" w:color="D0D5DD" w:sz="4"/>
          <w:insideV w:val="single" w:color="D0D5DD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700"/>
        <w:gridCol w:w="6660"/>
      </w:tblGrid>
      <w:tr>
        <w:trPr>
          <w:cantSplit/>
        </w:trPr>
        <w:tc>
          <w:tcPr>
            <w:tcW w:type="dxa" w:w="2700"/>
            <w:shd w:fill="F2F4F7" w:color="auto" w:val="clear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Исполнитель</w:t>
            </w:r>
          </w:p>
        </w:tc>
        <w:tc>
          <w:tcPr>
            <w:tcW w:type="dxa" w:w="6660"/>
            <w:vAlign w:val="center"/>
          </w:tcPr>
          <w:p>
            <w:pPr>
              <w:spacing w:after="0" w:line="240" w:lineRule="auto"/>
            </w:pPr>
            <w:r>
              <w:rPr>
                <w:color w:val="1F2937"/>
                <w:sz w:val="20"/>
                <w:szCs w:val="20"/>
              </w:rPr>
              <w:t xml:space="preserve">Коковихин Андрей Игоревич</w:t>
            </w:r>
          </w:p>
        </w:tc>
      </w:tr>
      <w:tr>
        <w:trPr>
          <w:cantSplit/>
        </w:trPr>
        <w:tc>
          <w:tcPr>
            <w:tcW w:type="dxa" w:w="2700"/>
            <w:shd w:fill="F2F4F7" w:color="auto" w:val="clear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Статус</w:t>
            </w:r>
          </w:p>
        </w:tc>
        <w:tc>
          <w:tcPr>
            <w:tcW w:type="dxa" w:w="6660"/>
            <w:vAlign w:val="center"/>
          </w:tcPr>
          <w:p>
            <w:pPr>
              <w:spacing w:after="0" w:line="240" w:lineRule="auto"/>
            </w:pPr>
            <w:r>
              <w:rPr>
                <w:color w:val="1F2937"/>
                <w:sz w:val="20"/>
                <w:szCs w:val="20"/>
              </w:rPr>
              <w:t xml:space="preserve">самозанятый</w:t>
            </w:r>
          </w:p>
        </w:tc>
      </w:tr>
      <w:tr>
        <w:trPr>
          <w:cantSplit/>
        </w:trPr>
        <w:tc>
          <w:tcPr>
            <w:tcW w:type="dxa" w:w="2700"/>
            <w:shd w:fill="F2F4F7" w:color="auto" w:val="clear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ИНН</w:t>
            </w:r>
          </w:p>
        </w:tc>
        <w:tc>
          <w:tcPr>
            <w:tcW w:type="dxa" w:w="6660"/>
            <w:vAlign w:val="center"/>
          </w:tcPr>
          <w:p>
            <w:pPr>
              <w:spacing w:after="0" w:line="240" w:lineRule="auto"/>
            </w:pPr>
            <w:r>
              <w:rPr>
                <w:color w:val="1F2937"/>
                <w:sz w:val="20"/>
                <w:szCs w:val="20"/>
              </w:rPr>
              <w:t xml:space="preserve">782001540147</w:t>
            </w:r>
          </w:p>
        </w:tc>
      </w:tr>
      <w:tr>
        <w:trPr>
          <w:cantSplit/>
        </w:trPr>
        <w:tc>
          <w:tcPr>
            <w:tcW w:type="dxa" w:w="2700"/>
            <w:shd w:fill="F2F4F7" w:color="auto" w:val="clear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Адрес</w:t>
            </w:r>
          </w:p>
        </w:tc>
        <w:tc>
          <w:tcPr>
            <w:tcW w:type="dxa" w:w="6660"/>
            <w:vAlign w:val="center"/>
          </w:tcPr>
          <w:p>
            <w:pPr>
              <w:spacing w:after="0" w:line="240" w:lineRule="auto"/>
            </w:pPr>
            <w:r>
              <w:rPr>
                <w:color w:val="1F2937"/>
                <w:sz w:val="20"/>
                <w:szCs w:val="20"/>
              </w:rPr>
              <w:t xml:space="preserve">196608, г. Санкт-Петербург, г. Пушкин, ул. Оранжерейная, д 64, кв 41</w:t>
            </w:r>
          </w:p>
        </w:tc>
      </w:tr>
      <w:tr>
        <w:trPr>
          <w:cantSplit/>
        </w:trPr>
        <w:tc>
          <w:tcPr>
            <w:tcW w:type="dxa" w:w="2700"/>
            <w:shd w:fill="F2F4F7" w:color="auto" w:val="clear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Email для обращений</w:t>
            </w:r>
          </w:p>
        </w:tc>
        <w:tc>
          <w:tcPr>
            <w:tcW w:type="dxa" w:w="6660"/>
            <w:vAlign w:val="center"/>
          </w:tcPr>
          <w:p>
            <w:pPr>
              <w:spacing w:after="0" w:line="240" w:lineRule="auto"/>
            </w:pPr>
            <w:r>
              <w:rPr>
                <w:color w:val="1F2937"/>
                <w:sz w:val="20"/>
                <w:szCs w:val="20"/>
              </w:rPr>
              <w:t xml:space="preserve">legal@andrey-digital.ru</w:t>
            </w:r>
          </w:p>
        </w:tc>
      </w:tr>
      <w:tr>
        <w:trPr>
          <w:cantSplit/>
        </w:trPr>
        <w:tc>
          <w:tcPr>
            <w:tcW w:type="dxa" w:w="2700"/>
            <w:shd w:fill="F2F4F7" w:color="auto" w:val="clear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Сайт</w:t>
            </w:r>
          </w:p>
        </w:tc>
        <w:tc>
          <w:tcPr>
            <w:tcW w:type="dxa" w:w="6660"/>
            <w:vAlign w:val="center"/>
          </w:tcPr>
          <w:p>
            <w:pPr>
              <w:spacing w:after="0" w:line="240" w:lineRule="auto"/>
            </w:pPr>
            <w:r>
              <w:rPr>
                <w:color w:val="1F2937"/>
                <w:sz w:val="20"/>
                <w:szCs w:val="20"/>
              </w:rPr>
              <w:t xml:space="preserve">andrey-digital.ru</w:t>
            </w:r>
          </w:p>
        </w:tc>
      </w:tr>
    </w:tbl>
    <w:p>
      <w:pPr>
        <w:spacing w:after="80"/>
      </w:pPr>
      <w:r>
        <w:rPr>
          <w:sz w:val="2"/>
          <w:szCs w:val="2"/>
        </w:rPr>
        <w:t xml:space="preserve"/>
      </w:r>
    </w:p>
    <w:p>
      <w:pPr>
        <w:pStyle w:val="LegalHeading"/>
      </w:pPr>
      <w:r>
        <w:t xml:space="preserve">2. Категории субъектов и данные</w:t>
      </w:r>
    </w:p>
    <w:p>
      <w:pPr>
        <w:pStyle w:val="LegalBody"/>
      </w:pPr>
      <w:r>
        <w:t xml:space="preserve">Данные банковской карты обрабатывает платежный оператор. Оператор сайта не получает и не хранит номер карты, срок действия и код безопасности.</w:t>
      </w:r>
    </w:p>
    <w:p>
      <w:pPr>
        <w:pStyle w:val="LegalBody"/>
      </w:pPr>
      <w:r>
        <w:t xml:space="preserve">Статистика посещаемости не связывается Оператором с именем, контактами, заказом или платежом конкретного посетителя.</w:t>
      </w:r>
    </w:p>
    <w:p>
      <w:pPr>
        <w:pStyle w:val="LegalBody"/>
      </w:pPr>
      <w:r>
        <w:t xml:space="preserve">Специальные категории и биометрические персональные данные не обрабатываются.</w:t>
      </w:r>
    </w:p>
    <w:p>
      <w:pPr>
        <w:pStyle w:val="LegalBullet"/>
        <w:numPr>
          <w:ilvl w:val="0"/>
          <w:numId w:val="2"/>
        </w:numPr>
      </w:pPr>
      <w:r>
        <w:t xml:space="preserve">Посетители сайта, лица, направившие обращение, Заказчики и их представители.</w:t>
      </w:r>
    </w:p>
    <w:p>
      <w:pPr>
        <w:pStyle w:val="LegalBullet"/>
        <w:numPr>
          <w:ilvl w:val="0"/>
          <w:numId w:val="2"/>
        </w:numPr>
      </w:pPr>
      <w:r>
        <w:t xml:space="preserve">Имя, email, телефон и содержание обращения, если пользователь их указал.</w:t>
      </w:r>
    </w:p>
    <w:p>
      <w:pPr>
        <w:pStyle w:val="LegalBullet"/>
        <w:numPr>
          <w:ilvl w:val="0"/>
          <w:numId w:val="2"/>
        </w:numPr>
      </w:pPr>
      <w:r>
        <w:t xml:space="preserve">Наименование клиента и ИНН, если они нужны для заказа и документов.</w:t>
      </w:r>
    </w:p>
    <w:p>
      <w:pPr>
        <w:pStyle w:val="LegalBullet"/>
        <w:numPr>
          <w:ilvl w:val="0"/>
          <w:numId w:val="2"/>
        </w:numPr>
      </w:pPr>
      <w:r>
        <w:t xml:space="preserve">Сведения о заказе, платежном статусе, идентификаторе платежа и чеке.</w:t>
      </w:r>
    </w:p>
    <w:p>
      <w:pPr>
        <w:pStyle w:val="LegalBullet"/>
        <w:numPr>
          <w:ilvl w:val="0"/>
          <w:numId w:val="2"/>
        </w:numPr>
      </w:pPr>
      <w:r>
        <w:t xml:space="preserve">IP-адрес, user-agent, дата, время и версия документов для подтверждения согласия и защиты от злоупотреблений.</w:t>
      </w:r>
    </w:p>
    <w:p>
      <w:pPr>
        <w:pStyle w:val="LegalBullet"/>
        <w:numPr>
          <w:ilvl w:val="0"/>
          <w:numId w:val="2"/>
        </w:numPr>
      </w:pPr>
      <w:r>
        <w:t xml:space="preserve">Технические данные защищенной админ-сессии и настройка темы, сохраненная в локальном хранилище браузера.</w:t>
      </w:r>
    </w:p>
    <w:p>
      <w:pPr>
        <w:pStyle w:val="LegalBullet"/>
        <w:numPr>
          <w:ilvl w:val="0"/>
          <w:numId w:val="2"/>
        </w:numPr>
      </w:pPr>
      <w:r>
        <w:t xml:space="preserve">Для агрегированной статистики публичной части портфолио: адрес страницы и домен, страна, источник перехода, тип устройства, браузер, операционная система и показатели загрузки.</w:t>
      </w:r>
    </w:p>
    <w:p>
      <w:pPr>
        <w:pStyle w:val="LegalHeading"/>
      </w:pPr>
      <w:r>
        <w:t xml:space="preserve">3. Цели и основания обработки</w:t>
      </w:r>
    </w:p>
    <w:p>
      <w:pPr>
        <w:pStyle w:val="LegalBody"/>
      </w:pPr>
      <w:r>
        <w:t xml:space="preserve">Основаниями обработки являются согласие субъекта, действия по его инициативе до заключения договора, заключение и исполнение договора, а также обязанности и права Оператора, установленные законом.</w:t>
      </w:r>
    </w:p>
    <w:p>
      <w:pPr>
        <w:pStyle w:val="LegalBody"/>
      </w:pPr>
      <w:r>
        <w:t xml:space="preserve">Для данных, необходимых для заключения и исполнения договора, обработка после отзыва согласия может продолжаться на самостоятельном законном основании. Рекламная рассылка требует отдельного необязательного согласия.</w:t>
      </w:r>
    </w:p>
    <w:p>
      <w:pPr>
        <w:pStyle w:val="LegalBullet"/>
        <w:numPr>
          <w:ilvl w:val="0"/>
          <w:numId w:val="2"/>
        </w:numPr>
      </w:pPr>
      <w:r>
        <w:t xml:space="preserve">Ответ на обращение, согласование и исполнение заказа.</w:t>
      </w:r>
    </w:p>
    <w:p>
      <w:pPr>
        <w:pStyle w:val="LegalBullet"/>
        <w:numPr>
          <w:ilvl w:val="0"/>
          <w:numId w:val="2"/>
        </w:numPr>
      </w:pPr>
      <w:r>
        <w:t xml:space="preserve">Создание платежа, подтверждение оплаты, чек и возврат.</w:t>
      </w:r>
    </w:p>
    <w:p>
      <w:pPr>
        <w:pStyle w:val="LegalBullet"/>
        <w:numPr>
          <w:ilvl w:val="0"/>
          <w:numId w:val="2"/>
        </w:numPr>
      </w:pPr>
      <w:r>
        <w:t xml:space="preserve">Поддержка и рассмотрение претензий.</w:t>
      </w:r>
    </w:p>
    <w:p>
      <w:pPr>
        <w:pStyle w:val="LegalBullet"/>
        <w:numPr>
          <w:ilvl w:val="0"/>
          <w:numId w:val="2"/>
        </w:numPr>
      </w:pPr>
      <w:r>
        <w:t xml:space="preserve">Выполнение требований бухгалтерского, налогового и иного законодательства.</w:t>
      </w:r>
    </w:p>
    <w:p>
      <w:pPr>
        <w:pStyle w:val="LegalBullet"/>
        <w:numPr>
          <w:ilvl w:val="0"/>
          <w:numId w:val="2"/>
        </w:numPr>
      </w:pPr>
      <w:r>
        <w:t xml:space="preserve">Фиксация юридически значимых действий, предотвращение злоупотреблений и защита прав сторон.</w:t>
      </w:r>
    </w:p>
    <w:p>
      <w:pPr>
        <w:pStyle w:val="LegalBullet"/>
        <w:numPr>
          <w:ilvl w:val="0"/>
          <w:numId w:val="2"/>
        </w:numPr>
      </w:pPr>
      <w:r>
        <w:t xml:space="preserve">Получение агрегированной статистики посещаемости, источников переходов и производительности публичной части портфолио.</w:t>
      </w:r>
    </w:p>
    <w:p>
      <w:pPr>
        <w:pStyle w:val="LegalHeading"/>
      </w:pPr>
      <w:r>
        <w:t xml:space="preserve">4. Действия с данными</w:t>
      </w:r>
    </w:p>
    <w:p>
      <w:pPr>
        <w:pStyle w:val="LegalBody"/>
      </w:pPr>
      <w:r>
        <w:t xml:space="preserve">Оператор осуществляет сбор, запись, систематизацию, накопление, хранение, уточнение, использование, передачу уполномоченным обработчикам, блокирование и удаление данных.</w:t>
      </w:r>
    </w:p>
    <w:p>
      <w:pPr>
        <w:pStyle w:val="LegalBody"/>
      </w:pPr>
      <w:r>
        <w:t xml:space="preserve">Обработка выполняется автоматизированным и неавтоматизированным способом. Доступ получают только лица, которым данные нужны для соответствующей цели.</w:t>
      </w:r>
    </w:p>
    <w:p>
      <w:pPr>
        <w:pStyle w:val="LegalHeading"/>
      </w:pPr>
      <w:r>
        <w:t xml:space="preserve">5. Источники данных</w:t>
      </w:r>
    </w:p>
    <w:p>
      <w:pPr>
        <w:pStyle w:val="LegalBody"/>
      </w:pPr>
      <w:r>
        <w:t xml:space="preserve">Оператор получает данные непосредственно от субъекта или его представителя через формы сайта, переписку и платежный интерфейс, а также от платежного оператора в части статуса и идентификатора операции.</w:t>
      </w:r>
    </w:p>
    <w:p>
      <w:pPr>
        <w:pStyle w:val="LegalBody"/>
      </w:pPr>
      <w:r>
        <w:t xml:space="preserve">Технические сведения для агрегированной статистики формируются автоматически при открытии публичной страницы портфолио.</w:t>
      </w:r>
    </w:p>
    <w:p>
      <w:pPr>
        <w:pStyle w:val="LegalBody"/>
      </w:pPr>
      <w:r>
        <w:t xml:space="preserve">Оператор не получает и не хранит полный набор реквизитов банковской карты.</w:t>
      </w:r>
    </w:p>
    <w:p>
      <w:pPr>
        <w:pStyle w:val="LegalHeading"/>
      </w:pPr>
      <w:r>
        <w:t xml:space="preserve">6. Хранение, локализация и сроки</w:t>
      </w:r>
    </w:p>
    <w:p>
      <w:pPr>
        <w:pStyle w:val="LegalBody"/>
      </w:pPr>
      <w:r>
        <w:t xml:space="preserve">Основная база заказов и платежных статусов размещается у указанного Оператором поставщика инфраструктуры: Amvera, сервер на территории Российской Федерации.</w:t>
      </w:r>
    </w:p>
    <w:p>
      <w:pPr>
        <w:pStyle w:val="LegalBody"/>
      </w:pPr>
      <w:r>
        <w:t xml:space="preserve">При сборе через интернет персональных данных граждан Российской Федерации их первичная запись, систематизация, накопление и хранение выполняются в базе данных на территории Российской Федерации.</w:t>
      </w:r>
    </w:p>
    <w:p>
      <w:pPr>
        <w:pStyle w:val="LegalBody"/>
      </w:pPr>
      <w:r>
        <w:t xml:space="preserve">Срок хранения: В течение действия договора и 5 лет после его завершения, если больший срок не установлен законом. После достижения цели данные удаляются или обезличиваются, если закон не требует дальнейшего хранения.</w:t>
      </w:r>
    </w:p>
    <w:p>
      <w:pPr>
        <w:pStyle w:val="LegalBody"/>
      </w:pPr>
      <w:r>
        <w:t xml:space="preserve">Фактические места обработки, маршрутизация запросов, журналы и резервные копии зависят от перечисленных ниже обработчиков и должны соответствовать их действующим условиям.</w:t>
      </w:r>
    </w:p>
    <w:p>
      <w:pPr>
        <w:pStyle w:val="LegalHeading"/>
      </w:pPr>
      <w:r>
        <w:t xml:space="preserve">7. Обработчики и передача</w:t>
      </w:r>
    </w:p>
    <w:p>
      <w:pPr>
        <w:pStyle w:val="LegalBody"/>
      </w:pPr>
      <w:r>
        <w:t xml:space="preserve">По информации Cloudflare, Web Analytics не использует cookies, localStorage или fingerprinting и не собирает и не использует персональные данные посетителей.</w:t>
      </w:r>
    </w:p>
    <w:p>
      <w:pPr>
        <w:pStyle w:val="LegalBody"/>
      </w:pPr>
      <w:r>
        <w:t xml:space="preserve">Обработчикам передается только объем данных, необходимый для конкретной функции. Они обязаны соблюдать конфиденциальность и требования безопасности.</w:t>
      </w:r>
    </w:p>
    <w:p>
      <w:pPr>
        <w:pStyle w:val="LegalBody"/>
      </w:pPr>
      <w:r>
        <w:t xml:space="preserve">До начала трансграничной передачи Оператор выполняет предусмотренные законом требования и указывает в актуальной редакции политики иностранного получателя, страну и основание передачи.</w:t>
      </w:r>
    </w:p>
    <w:p>
      <w:pPr>
        <w:pStyle w:val="LegalBody"/>
      </w:pPr>
      <w:r>
        <w:t xml:space="preserve">Если трансграничная передача для выбранного сервиса не требуется или не оформлена в установленном порядке, данные через такой сервис не передаются.</w:t>
      </w:r>
    </w:p>
    <w:p>
      <w:pPr>
        <w:pStyle w:val="LegalBullet"/>
        <w:numPr>
          <w:ilvl w:val="0"/>
          <w:numId w:val="2"/>
        </w:numPr>
      </w:pPr>
      <w:r>
        <w:t xml:space="preserve">Платежи и платежные статусы: ЮKassa.</w:t>
      </w:r>
    </w:p>
    <w:p>
      <w:pPr>
        <w:pStyle w:val="LegalBullet"/>
        <w:numPr>
          <w:ilvl w:val="0"/>
          <w:numId w:val="2"/>
        </w:numPr>
      </w:pPr>
      <w:r>
        <w:t xml:space="preserve">Хостинг и база данных: Amvera, сервер на территории Российской Федерации.</w:t>
      </w:r>
    </w:p>
    <w:p>
      <w:pPr>
        <w:pStyle w:val="LegalBullet"/>
        <w:numPr>
          <w:ilvl w:val="0"/>
          <w:numId w:val="2"/>
        </w:numPr>
      </w:pPr>
      <w:r>
        <w:t xml:space="preserve">Служебная переписка: Cloudflare Email Routing.</w:t>
      </w:r>
    </w:p>
    <w:p>
      <w:pPr>
        <w:pStyle w:val="LegalBullet"/>
        <w:numPr>
          <w:ilvl w:val="0"/>
          <w:numId w:val="2"/>
        </w:numPr>
      </w:pPr>
      <w:r>
        <w:t xml:space="preserve">Агрегированная статистика публичной части портфолио: Cloudflare Web Analytics; платежные, административные и юридические страницы исключены.</w:t>
      </w:r>
    </w:p>
    <w:p>
      <w:pPr>
        <w:pStyle w:val="LegalHeading"/>
      </w:pPr>
      <w:r>
        <w:t xml:space="preserve">8. Защита данных</w:t>
      </w:r>
    </w:p>
    <w:p>
      <w:pPr>
        <w:pStyle w:val="LegalBody"/>
      </w:pPr>
      <w:r>
        <w:t xml:space="preserve">Применяются разграничение доступа, защищенные соединения, серверное хранение секретов, журналирование действий, резервное копирование и обновление программного обеспечения.</w:t>
      </w:r>
    </w:p>
    <w:p>
      <w:pPr>
        <w:pStyle w:val="LegalBody"/>
      </w:pPr>
      <w:r>
        <w:t xml:space="preserve">При инциденте Оператор принимает меры по ограничению последствий и выполняет предусмотренные законом обязанности.</w:t>
      </w:r>
    </w:p>
    <w:p>
      <w:pPr>
        <w:pStyle w:val="LegalHeading"/>
      </w:pPr>
      <w:r>
        <w:t xml:space="preserve">9. Права субъекта</w:t>
      </w:r>
    </w:p>
    <w:p>
      <w:pPr>
        <w:pStyle w:val="LegalBody"/>
      </w:pPr>
      <w:r>
        <w:t xml:space="preserve">Субъект вправе запросить сведения об обработке, уточнение, блокирование или удаление данных, а также отозвать согласие по адресу legal@andrey-digital.ru.</w:t>
      </w:r>
    </w:p>
    <w:p>
      <w:pPr>
        <w:pStyle w:val="LegalBody"/>
      </w:pPr>
      <w:r>
        <w:t xml:space="preserve">Отзыв не влияет на законность обработки до его получения. Оператор вправе продолжить обработку без согласия, если для этого есть иное законное основание.</w:t>
      </w:r>
    </w:p>
    <w:p>
      <w:pPr>
        <w:pStyle w:val="LegalBody"/>
      </w:pPr>
      <w:r>
        <w:t xml:space="preserve">Обращение должно позволять определить заявителя и данные, в отношении которых направлен запрос. Ответ предоставляется в срок, установленный законом.</w:t>
      </w:r>
    </w:p>
    <w:p>
      <w:pPr>
        <w:pStyle w:val="LegalHeading"/>
      </w:pPr>
      <w:r>
        <w:t xml:space="preserve">10. Cookies и локальное хранилище</w:t>
      </w:r>
    </w:p>
    <w:p>
      <w:pPr>
        <w:pStyle w:val="LegalBody"/>
      </w:pPr>
      <w:r>
        <w:t xml:space="preserve">Техническая cookie используется для защищенной админ-сессии. Выбранная тема сохраняется в localStorage браузера и не отправляется как отдельная аналитическая cookie.</w:t>
      </w:r>
    </w:p>
    <w:p>
      <w:pPr>
        <w:pStyle w:val="LegalBody"/>
      </w:pPr>
      <w:r>
        <w:t xml:space="preserve">Cloudflare Web Analytics работает на публичной части портфолио без аналитических cookies; счетчик не загружается на страницах оплаты, администрирования и юридических документов.</w:t>
      </w:r>
    </w:p>
    <w:p>
      <w:pPr>
        <w:pStyle w:val="LegalBody"/>
      </w:pPr>
      <w:r>
        <w:t xml:space="preserve">Сторонняя аналитика платежного раздела не используется.</w:t>
      </w:r>
    </w:p>
    <w:p>
      <w:pPr>
        <w:pStyle w:val="LegalHeading"/>
      </w:pPr>
      <w:r>
        <w:t xml:space="preserve">11. Прекращение обработки и уничтожение</w:t>
      </w:r>
    </w:p>
    <w:p>
      <w:pPr>
        <w:pStyle w:val="LegalBody"/>
      </w:pPr>
      <w:r>
        <w:t xml:space="preserve">После достижения цели, истечения срока хранения или получения обоснованного требования данные удаляются, уничтожаются либо обезличиваются, если их дальнейшее хранение не требуется по закону или для защиты прав сторон.</w:t>
      </w:r>
    </w:p>
    <w:p>
      <w:pPr>
        <w:pStyle w:val="LegalBody"/>
      </w:pPr>
      <w:r>
        <w:t xml:space="preserve">Резервные копии очищаются в рамках установленного цикла хранения и восстановления.</w:t>
      </w:r>
    </w:p>
    <w:p>
      <w:pPr>
        <w:pStyle w:val="LegalHeading"/>
      </w:pPr>
      <w:r>
        <w:t xml:space="preserve">12. Изменение политики</w:t>
      </w:r>
    </w:p>
    <w:p>
      <w:pPr>
        <w:pStyle w:val="LegalBody"/>
      </w:pPr>
      <w:r>
        <w:t xml:space="preserve">Новая редакция применяется к новым действиям после ее публикации. Ранее зафиксированные факты согласия связываются с текстом, действовавшим в момент отправки формы.</w:t>
      </w:r>
    </w:p>
    <w:p>
      <w:pPr>
        <w:pStyle w:val="LegalBody"/>
      </w:pPr>
      <w:r>
        <w:t xml:space="preserve">Вопросы об обработке данных можно направить по адресу legal@andrey-digital.ru.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/>
      <w:jc w:val="right"/>
    </w:pPr>
    <w:r>
      <w:rPr>
        <w:rFonts w:ascii="Calibri" w:cs="Calibri" w:eastAsia="Calibri" w:hAnsi="Calibri"/>
        <w:color w:val="667085"/>
        <w:sz w:val="16"/>
        <w:szCs w:val="16"/>
      </w:rPr>
      <w:t xml:space="preserve">Страница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  <w:jc w:val="right"/>
    </w:pPr>
    <w:r>
      <w:rPr>
        <w:rFonts w:ascii="Calibri" w:cs="Calibri" w:eastAsia="Calibri" w:hAnsi="Calibri"/>
        <w:b/>
        <w:bCs/>
        <w:color w:val="667085"/>
        <w:sz w:val="16"/>
        <w:szCs w:val="16"/>
      </w:rPr>
      <w:t xml:space="preserve">ANDREY DIGITAL · ЮРИДИЧЕСКИЕ ДОКУМЕНТЫ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  <w:rPr>
        <w:rFonts w:ascii="Calibri" w:cs="Calibri" w:eastAsia="Calibri" w:hAnsi="Calibri"/>
        <w:color w:val="B45309"/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937"/>
        <w:sz w:val="22"/>
        <w:szCs w:val="22"/>
        <w:lang w:val="ru-RU"/>
      </w:rPr>
    </w:rPrDefault>
    <w:pPrDefault>
      <w:pPr>
        <w:spacing w:after="120" w:line="264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LegalTitle">
    <w:name w:val="Legal title"/>
    <w:basedOn w:val="Normal"/>
    <w:next w:val="LegalSubtitle"/>
    <w:qFormat/>
    <w:pPr>
      <w:keepNext/>
      <w:spacing w:after="120" w:before="0" w:line="300" w:lineRule="auto"/>
    </w:pPr>
    <w:rPr>
      <w:rFonts w:ascii="Calibri" w:cs="Calibri" w:eastAsia="Calibri" w:hAnsi="Calibri"/>
      <w:b/>
      <w:bCs/>
      <w:color w:val="0B2545"/>
      <w:sz w:val="44"/>
      <w:szCs w:val="44"/>
    </w:rPr>
  </w:style>
  <w:style w:type="paragraph" w:styleId="LegalSubtitle">
    <w:name w:val="Legal subtitle"/>
    <w:basedOn w:val="Normal"/>
    <w:next w:val="LegalMeta"/>
    <w:pPr>
      <w:keepNext/>
      <w:spacing w:after="160" w:line="252" w:lineRule="auto"/>
    </w:pPr>
    <w:rPr>
      <w:rFonts w:ascii="Calibri" w:cs="Calibri" w:eastAsia="Calibri" w:hAnsi="Calibri"/>
      <w:color w:val="667085"/>
      <w:sz w:val="21"/>
      <w:szCs w:val="21"/>
    </w:rPr>
  </w:style>
  <w:style w:type="paragraph" w:styleId="LegalMeta">
    <w:name w:val="Legal metadata"/>
    <w:basedOn w:val="Normal"/>
    <w:next w:val="LegalMeta"/>
    <w:pPr>
      <w:keepNext/>
      <w:spacing w:after="30" w:line="220" w:lineRule="auto"/>
    </w:pPr>
    <w:rPr>
      <w:rFonts w:ascii="Calibri" w:cs="Calibri" w:eastAsia="Calibri" w:hAnsi="Calibri"/>
      <w:color w:val="667085"/>
      <w:sz w:val="18"/>
      <w:szCs w:val="18"/>
    </w:rPr>
  </w:style>
  <w:style w:type="paragraph" w:styleId="LegalHeading">
    <w:name w:val="Legal heading"/>
    <w:basedOn w:val="Normal"/>
    <w:next w:val="LegalBody"/>
    <w:qFormat/>
    <w:pPr>
      <w:keepNext/>
      <w:keepLines/>
      <w:spacing w:after="100" w:before="220" w:line="300" w:lineRule="auto"/>
    </w:pPr>
    <w:rPr>
      <w:rFonts w:ascii="Calibri" w:cs="Calibri" w:eastAsia="Calibri" w:hAnsi="Calibri"/>
      <w:b/>
      <w:bCs/>
      <w:color w:val="2E5D7B"/>
      <w:sz w:val="26"/>
      <w:szCs w:val="26"/>
    </w:rPr>
  </w:style>
  <w:style w:type="paragraph" w:styleId="LegalBody">
    <w:name w:val="Legal body"/>
    <w:basedOn w:val="Normal"/>
    <w:next w:val="LegalBody"/>
    <w:pPr>
      <w:spacing w:after="120" w:line="264" w:lineRule="auto"/>
    </w:pPr>
    <w:rPr>
      <w:rFonts w:ascii="Calibri" w:cs="Calibri" w:eastAsia="Calibri" w:hAnsi="Calibri"/>
      <w:color w:val="1F2937"/>
      <w:sz w:val="22"/>
      <w:szCs w:val="22"/>
    </w:rPr>
  </w:style>
  <w:style w:type="paragraph" w:styleId="LegalBullet">
    <w:name w:val="Legal bullet"/>
    <w:basedOn w:val="Normal"/>
    <w:next w:val="LegalBullet"/>
    <w:pPr>
      <w:spacing w:after="160" w:line="280" w:lineRule="auto"/>
    </w:pPr>
    <w:rPr>
      <w:rFonts w:ascii="Calibri" w:cs="Calibri" w:eastAsia="Calibri" w:hAnsi="Calibri"/>
      <w:color w:val="1F2937"/>
      <w:sz w:val="22"/>
      <w:szCs w:val="22"/>
    </w:rPr>
  </w:style>
  <w:style w:type="paragraph" w:styleId="LegalSnapshotNote">
    <w:name w:val="Legal snapshot note"/>
    <w:basedOn w:val="Normal"/>
    <w:pPr>
      <w:keepNext/>
      <w:spacing w:after="80" w:before="300" w:line="240" w:lineRule="auto"/>
    </w:pPr>
    <w:rPr>
      <w:rFonts w:ascii="Calibri" w:cs="Calibri" w:eastAsia="Calibri" w:hAnsi="Calibri"/>
      <w:color w:val="667085"/>
      <w:sz w:val="19"/>
      <w:szCs w:val="19"/>
    </w:rPr>
  </w:style>
  <w:style w:type="paragraph" w:styleId="LegalHash">
    <w:name w:val="Legal hash"/>
    <w:basedOn w:val="Normal"/>
    <w:pPr>
      <w:spacing w:after="0" w:line="220" w:lineRule="auto"/>
    </w:pPr>
    <w:rPr>
      <w:rFonts w:ascii="Consolas" w:cs="Consolas" w:eastAsia="Consolas" w:hAnsi="Consolas"/>
      <w:color w:val="667085"/>
      <w:sz w:val="16"/>
      <w:szCs w:val="1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обработки персональных данных</dc:title>
  <dc:subject>Единая политика для сайта и платежного раздела. Действует с 10 августа 2026 г..</dc:subject>
  <dc:creator>ANDREY digital</dc:creator>
  <dc:description>Юридический документ ANDREY digital</dc:description>
  <cp:lastModifiedBy>Un-named</cp:lastModifiedBy>
  <cp:revision>1</cp:revision>
  <dcterms:created xsi:type="dcterms:W3CDTF">2026-08-27T04:11:49.893Z</dcterms:created>
  <dcterms:modified xsi:type="dcterms:W3CDTF">2026-08-27T04:11:49.893Z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